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40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1:00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00000:212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</w:rPr>
        <w:t xml:space="preserve"> принадлежащий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АО «Дирекция по эксплуатации зданий»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праве собственности с </w:t>
      </w:r>
      <w:r>
        <w:rPr>
          <w:rFonts w:ascii="Times New Roman" w:hAnsi="Times New Roman" w:cs="Times New Roman"/>
          <w:sz w:val="28"/>
          <w:szCs w:val="28"/>
        </w:rPr>
        <w:t xml:space="preserve">03.03.2009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подлежит исключению из перечня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2024 год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 xml:space="preserve">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</w:t>
      </w:r>
      <w:r>
        <w:rPr>
          <w:rFonts w:ascii="Times New Roman" w:hAnsi="Times New Roman"/>
          <w:sz w:val="28"/>
        </w:rPr>
        <w:t xml:space="preserve">асающихся определения вида фактического использования зданий (строений, сооружений) и помещений в них для целей налогообложения в Камчатском крае от </w:t>
      </w:r>
      <w:r>
        <w:rPr>
          <w:rFonts w:ascii="Times New Roman" w:hAnsi="Times New Roman"/>
          <w:sz w:val="28"/>
        </w:rPr>
        <w:t xml:space="preserve">01.07.2024 № 6,</w:t>
      </w:r>
      <w:r>
        <w:rPr>
          <w:rFonts w:ascii="Times New Roman" w:hAnsi="Times New Roman"/>
          <w:sz w:val="28"/>
        </w:rPr>
        <w:t xml:space="preserve">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15.05.2024 № 78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</w:t>
      </w:r>
      <w:r>
        <w:rPr>
          <w:rFonts w:hint="eastAsia" w:ascii="Times New Roman" w:hAnsi="Times New Roman"/>
          <w:sz w:val="28"/>
          <w:szCs w:val="28"/>
        </w:rPr>
        <w:t xml:space="preserve">Управлением имущественных и земельных отношений администрации Петропавловск-Камчатского городского округа</w:t>
      </w:r>
      <w:r>
        <w:rPr>
          <w:rFonts w:hint="eastAsia"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26» июля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01» </w:t>
      </w:r>
      <w:r>
        <w:rPr>
          <w:rFonts w:ascii="Times New Roman" w:hAnsi="Times New Roman"/>
          <w:sz w:val="28"/>
        </w:rPr>
        <w:t xml:space="preserve">августа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709" w:right="850" w:bottom="538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17</cp:revision>
  <dcterms:modified xsi:type="dcterms:W3CDTF">2024-07-25T22:47:14Z</dcterms:modified>
</cp:coreProperties>
</file>